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snapToGrid w:val="0"/>
        <w:spacing w:before="0" w:beforeAutospacing="0" w:after="0" w:afterAutospacing="0" w:line="600" w:lineRule="exact"/>
        <w:jc w:val="both"/>
        <w:rPr>
          <w:rFonts w:ascii="Times New Roman" w:hAnsi="Times New Roman" w:eastAsia="仿宋_GB2312" w:cs="Times New Roman"/>
          <w:color w:val="auto"/>
          <w:sz w:val="32"/>
          <w:szCs w:val="32"/>
        </w:rPr>
      </w:pPr>
      <w:bookmarkStart w:id="0" w:name="_GoBack"/>
      <w:bookmarkEnd w:id="0"/>
      <w:r>
        <w:rPr>
          <w:rFonts w:hint="eastAsia" w:ascii="Times New Roman" w:hAnsi="Times New Roman" w:eastAsia="仿宋_GB2312" w:cs="Times New Roman"/>
          <w:color w:val="auto"/>
          <w:sz w:val="32"/>
          <w:szCs w:val="32"/>
        </w:rPr>
        <w:t>附件4</w:t>
      </w:r>
    </w:p>
    <w:p>
      <w:pPr>
        <w:pStyle w:val="20"/>
        <w:spacing w:line="600" w:lineRule="exact"/>
        <w:jc w:val="center"/>
        <w:rPr>
          <w:rFonts w:ascii="Times New Roman" w:hAnsi="Times New Roman" w:eastAsia="方正小标宋简体" w:cs="Times New Roman"/>
          <w:color w:val="auto"/>
          <w:sz w:val="36"/>
          <w:szCs w:val="36"/>
        </w:rPr>
      </w:pPr>
    </w:p>
    <w:p>
      <w:pPr>
        <w:autoSpaceDE w:val="0"/>
        <w:snapToGrid w:val="0"/>
        <w:spacing w:line="600" w:lineRule="exact"/>
        <w:jc w:val="center"/>
        <w:rPr>
          <w:rFonts w:ascii="方正小标宋_GBK" w:hAnsi="方正小标宋_GBK" w:eastAsia="方正小标宋_GBK" w:cs="方正小标宋_GBK"/>
          <w:color w:val="auto"/>
          <w:sz w:val="36"/>
          <w:szCs w:val="36"/>
        </w:rPr>
      </w:pPr>
      <w:r>
        <w:rPr>
          <w:rFonts w:ascii="方正小标宋_GBK" w:hAnsi="方正小标宋_GBK" w:eastAsia="方正小标宋_GBK" w:cs="方正小标宋_GBK"/>
          <w:color w:val="auto"/>
          <w:sz w:val="40"/>
          <w:szCs w:val="40"/>
        </w:rPr>
        <w:t>2021-2022年</w:t>
      </w:r>
      <w:r>
        <w:rPr>
          <w:rFonts w:hint="eastAsia" w:ascii="方正小标宋_GBK" w:hAnsi="方正小标宋_GBK" w:eastAsia="方正小标宋_GBK" w:cs="方正小标宋_GBK"/>
          <w:color w:val="auto"/>
          <w:sz w:val="36"/>
          <w:szCs w:val="36"/>
        </w:rPr>
        <w:t>湖南省重点研发计划指南</w:t>
      </w:r>
    </w:p>
    <w:p>
      <w:pPr>
        <w:autoSpaceDE w:val="0"/>
        <w:snapToGrid w:val="0"/>
        <w:spacing w:line="600" w:lineRule="exact"/>
        <w:jc w:val="center"/>
        <w:rPr>
          <w:rFonts w:ascii="方正小标宋_GBK" w:hAnsi="方正小标宋_GBK" w:eastAsia="方正小标宋_GBK" w:cs="方正小标宋_GBK"/>
          <w:b/>
          <w:color w:val="auto"/>
          <w:sz w:val="36"/>
          <w:szCs w:val="36"/>
        </w:rPr>
      </w:pPr>
      <w:r>
        <w:rPr>
          <w:rFonts w:hint="eastAsia" w:ascii="方正小标宋_GBK" w:hAnsi="方正小标宋_GBK" w:eastAsia="方正小标宋_GBK" w:cs="方正小标宋_GBK"/>
          <w:color w:val="auto"/>
          <w:sz w:val="36"/>
          <w:szCs w:val="36"/>
        </w:rPr>
        <w:t>（国际与区域科技合作领域）</w:t>
      </w:r>
    </w:p>
    <w:p>
      <w:pPr>
        <w:spacing w:line="600" w:lineRule="exact"/>
        <w:rPr>
          <w:rFonts w:ascii="Times New Roman" w:hAnsi="Times New Roman" w:cs="Times New Roman"/>
          <w:color w:val="auto"/>
        </w:rPr>
      </w:pP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一、联合研究</w:t>
      </w:r>
    </w:p>
    <w:p>
      <w:pPr>
        <w:spacing w:line="600" w:lineRule="exact"/>
        <w:ind w:firstLine="643" w:firstLineChars="200"/>
        <w:rPr>
          <w:rFonts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（一）支持方向</w:t>
      </w:r>
    </w:p>
    <w:p>
      <w:pPr>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 xml:space="preserve">1. </w:t>
      </w:r>
      <w:r>
        <w:rPr>
          <w:rFonts w:hint="eastAsia" w:ascii="Times New Roman" w:hAnsi="Times New Roman" w:eastAsia="仿宋_GB2312" w:cs="Times New Roman"/>
          <w:b/>
          <w:color w:val="auto"/>
          <w:sz w:val="32"/>
          <w:szCs w:val="32"/>
        </w:rPr>
        <w:t>应用基础联合研究。</w:t>
      </w:r>
      <w:r>
        <w:rPr>
          <w:rFonts w:hint="eastAsia" w:ascii="Times New Roman" w:hAnsi="Times New Roman" w:eastAsia="仿宋_GB2312" w:cs="Times New Roman"/>
          <w:color w:val="auto"/>
          <w:sz w:val="32"/>
          <w:szCs w:val="32"/>
        </w:rPr>
        <w:t>主要支持省内高校、科研院所与国外、港澳台地区高校、科研院所以及中科院等合作，联合开展前沿理论、科学方法、技术实验等应用基础研究合作。重点支持新材料、新能源、人工智能、量子信息、新一代信息技术、生命健康、脑科学、生物育种等前沿领域。</w:t>
      </w:r>
    </w:p>
    <w:p>
      <w:pPr>
        <w:widowControl/>
        <w:spacing w:line="60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 xml:space="preserve">2. </w:t>
      </w:r>
      <w:r>
        <w:rPr>
          <w:rFonts w:hint="eastAsia" w:ascii="Times New Roman" w:hAnsi="Times New Roman" w:eastAsia="仿宋_GB2312" w:cs="Times New Roman"/>
          <w:b/>
          <w:color w:val="auto"/>
          <w:sz w:val="32"/>
          <w:szCs w:val="32"/>
        </w:rPr>
        <w:t>产业技术联合研发。</w:t>
      </w:r>
      <w:r>
        <w:rPr>
          <w:rFonts w:hint="eastAsia" w:ascii="Times New Roman" w:hAnsi="Times New Roman" w:eastAsia="仿宋_GB2312" w:cs="Times New Roman"/>
          <w:color w:val="auto"/>
          <w:sz w:val="32"/>
          <w:szCs w:val="32"/>
        </w:rPr>
        <w:t>支持省内高校、科研院所、企业、新型研发机构与国外、港澳台地区各类科技创新主体以及中科院等合作，联合开展技术攻关、技术转移与成果转化等产业技术研发合作。重点支持工程机械、轨道交通装备、航空航天、新材料、新一代信息技术、现代农业、资源与环保、生物医药、中医药等重点产业领域。</w:t>
      </w:r>
    </w:p>
    <w:p>
      <w:pPr>
        <w:spacing w:line="600" w:lineRule="exact"/>
        <w:ind w:firstLine="643" w:firstLineChars="200"/>
        <w:rPr>
          <w:rFonts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（二）申报要求</w:t>
      </w:r>
    </w:p>
    <w:p>
      <w:pPr>
        <w:widowControl/>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1. </w:t>
      </w:r>
      <w:r>
        <w:rPr>
          <w:rFonts w:hint="eastAsia" w:ascii="Times New Roman" w:hAnsi="Times New Roman" w:eastAsia="仿宋_GB2312" w:cs="Times New Roman"/>
          <w:color w:val="auto"/>
          <w:sz w:val="32"/>
          <w:szCs w:val="32"/>
        </w:rPr>
        <w:t>项目申报单位合作方在合作领域的技术性能指标、适用性、经济性等方面处于国际先进水平或</w:t>
      </w:r>
      <w:r>
        <w:rPr>
          <w:rFonts w:hint="eastAsia" w:ascii="Times New Roman" w:hAnsi="Times New Roman" w:eastAsia="仿宋_GB2312" w:cs="Times New Roman"/>
          <w:color w:val="auto"/>
          <w:sz w:val="32"/>
          <w:szCs w:val="32"/>
          <w:lang w:eastAsia="zh-CN"/>
        </w:rPr>
        <w:t>填补</w:t>
      </w:r>
      <w:r>
        <w:rPr>
          <w:rFonts w:hint="eastAsia" w:ascii="Times New Roman" w:hAnsi="Times New Roman" w:eastAsia="仿宋_GB2312" w:cs="Times New Roman"/>
          <w:color w:val="auto"/>
          <w:sz w:val="32"/>
          <w:szCs w:val="32"/>
        </w:rPr>
        <w:t>国内</w:t>
      </w:r>
      <w:r>
        <w:rPr>
          <w:rFonts w:hint="eastAsia" w:ascii="Times New Roman" w:hAnsi="Times New Roman" w:eastAsia="仿宋_GB2312" w:cs="Times New Roman"/>
          <w:color w:val="auto"/>
          <w:sz w:val="32"/>
          <w:szCs w:val="32"/>
          <w:lang w:eastAsia="zh-CN"/>
        </w:rPr>
        <w:t>空白</w:t>
      </w:r>
      <w:r>
        <w:rPr>
          <w:rFonts w:hint="eastAsia" w:ascii="Times New Roman" w:hAnsi="Times New Roman" w:eastAsia="仿宋_GB2312" w:cs="Times New Roman"/>
          <w:color w:val="auto"/>
          <w:sz w:val="32"/>
          <w:szCs w:val="32"/>
        </w:rPr>
        <w:t>。</w:t>
      </w:r>
    </w:p>
    <w:p>
      <w:pPr>
        <w:widowControl/>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 </w:t>
      </w:r>
      <w:r>
        <w:rPr>
          <w:rFonts w:hint="eastAsia" w:ascii="Times New Roman" w:hAnsi="Times New Roman" w:eastAsia="仿宋_GB2312" w:cs="Times New Roman"/>
          <w:color w:val="auto"/>
          <w:sz w:val="32"/>
          <w:szCs w:val="32"/>
        </w:rPr>
        <w:t>项目符合湖南省科技创新和重点产业发展方向，技术急需或弥补我省产业链缺失环节，能推动高精尖产业发展，提高合作创新能力。</w:t>
      </w:r>
    </w:p>
    <w:p>
      <w:pPr>
        <w:widowControl/>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3. </w:t>
      </w:r>
      <w:r>
        <w:rPr>
          <w:rFonts w:hint="eastAsia" w:ascii="Times New Roman" w:hAnsi="Times New Roman" w:eastAsia="仿宋_GB2312" w:cs="Times New Roman"/>
          <w:color w:val="auto"/>
          <w:sz w:val="32"/>
          <w:szCs w:val="32"/>
        </w:rPr>
        <w:t>优先支持与具有国际领先水平的科研团队和著名科学家合作，以及引进国外、港澳台地区或中科院重大优势科技资源、解决产业关键核心技术、对接国际大科学计划和大科学工程的项目。</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二、“一带一路”科技“走出去”</w:t>
      </w:r>
    </w:p>
    <w:p>
      <w:pPr>
        <w:spacing w:line="600" w:lineRule="exact"/>
        <w:ind w:firstLine="643" w:firstLineChars="200"/>
        <w:rPr>
          <w:rFonts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（一）支持方向</w:t>
      </w:r>
    </w:p>
    <w:p>
      <w:pPr>
        <w:widowControl/>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支持我省高校、科研院所、企业和新型研发机构，围绕促进我省技术、产品和标准“走出去”，在“一带一路”国家开展示范、推广和当地适应性研究，组织开展发展中国家国际技术培训班，以及建立联合研究中心和研发基地。</w:t>
      </w:r>
    </w:p>
    <w:p>
      <w:pPr>
        <w:spacing w:line="600" w:lineRule="exact"/>
        <w:ind w:firstLine="643" w:firstLineChars="200"/>
        <w:rPr>
          <w:rFonts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（二）申报要求</w:t>
      </w:r>
    </w:p>
    <w:p>
      <w:pPr>
        <w:widowControl/>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1. </w:t>
      </w:r>
      <w:r>
        <w:rPr>
          <w:rFonts w:hint="eastAsia" w:ascii="Times New Roman" w:hAnsi="Times New Roman" w:eastAsia="仿宋_GB2312" w:cs="Times New Roman"/>
          <w:color w:val="auto"/>
          <w:sz w:val="32"/>
          <w:szCs w:val="32"/>
        </w:rPr>
        <w:t>项目申报单位须已有较成熟的“走出去”工作方案和较好的前期工作基础。</w:t>
      </w:r>
    </w:p>
    <w:p>
      <w:pPr>
        <w:widowControl/>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 </w:t>
      </w:r>
      <w:r>
        <w:rPr>
          <w:rFonts w:hint="eastAsia" w:ascii="Times New Roman" w:hAnsi="Times New Roman" w:eastAsia="仿宋_GB2312" w:cs="Times New Roman"/>
          <w:color w:val="auto"/>
          <w:sz w:val="32"/>
          <w:szCs w:val="32"/>
        </w:rPr>
        <w:t>项目申报单位须已有资金投入或有明确的资金投入计划及资金来源。</w:t>
      </w:r>
    </w:p>
    <w:p>
      <w:pPr>
        <w:widowControl/>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三、提升重点园区开放合作能力</w:t>
      </w:r>
    </w:p>
    <w:p>
      <w:pPr>
        <w:spacing w:line="600" w:lineRule="exact"/>
        <w:ind w:firstLine="643" w:firstLineChars="200"/>
        <w:rPr>
          <w:rFonts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（一）支持方向</w:t>
      </w:r>
    </w:p>
    <w:p>
      <w:p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支持省内各类科技创新主体，围绕“两山”“两区”“粤港澳科创产业园”“中国（湖南）自由贸易试验区”等重点园区</w:t>
      </w:r>
      <w:r>
        <w:rPr>
          <w:rFonts w:hint="eastAsia" w:ascii="Times New Roman" w:hAnsi="Times New Roman" w:eastAsia="仿宋_GB2312" w:cs="Times New Roman"/>
          <w:color w:val="auto"/>
          <w:sz w:val="32"/>
          <w:szCs w:val="32"/>
          <w:lang w:eastAsia="zh-CN"/>
        </w:rPr>
        <w:t>建设</w:t>
      </w:r>
      <w:r>
        <w:rPr>
          <w:rFonts w:hint="eastAsia" w:ascii="Times New Roman" w:hAnsi="Times New Roman" w:eastAsia="仿宋_GB2312" w:cs="Times New Roman"/>
          <w:color w:val="auto"/>
          <w:sz w:val="32"/>
          <w:szCs w:val="32"/>
        </w:rPr>
        <w:t>，与国外、港澳</w:t>
      </w:r>
      <w:r>
        <w:rPr>
          <w:rFonts w:hint="eastAsia" w:ascii="Times New Roman" w:hAnsi="Times New Roman" w:eastAsia="仿宋_GB2312" w:cs="Times New Roman"/>
          <w:color w:val="auto"/>
          <w:sz w:val="32"/>
          <w:szCs w:val="32"/>
          <w:lang w:eastAsia="zh-CN"/>
        </w:rPr>
        <w:t>台</w:t>
      </w:r>
      <w:r>
        <w:rPr>
          <w:rFonts w:hint="eastAsia" w:ascii="Times New Roman" w:hAnsi="Times New Roman" w:eastAsia="仿宋_GB2312" w:cs="Times New Roman"/>
          <w:color w:val="auto"/>
          <w:sz w:val="32"/>
          <w:szCs w:val="32"/>
        </w:rPr>
        <w:t>地区的高校、科研机构、企业，以及中科院有关科研院所等开展以产业化为目标的研究开发及成果转化合作，鼓励在园区内共建创新中心、研发中心、产业化合作基地等平台，促进国际与区域科技合作资源向园区聚集，促进园区转型升级和高质量发展。重点支持高端装备制造、信息技术、新材料、绿色低碳、生物医药、数字经济、现代种业等领域。</w:t>
      </w:r>
    </w:p>
    <w:p>
      <w:pPr>
        <w:spacing w:line="600" w:lineRule="exact"/>
        <w:ind w:firstLine="643" w:firstLineChars="200"/>
        <w:rPr>
          <w:rFonts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（二）申报要求</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1. </w:t>
      </w:r>
      <w:r>
        <w:rPr>
          <w:rFonts w:hint="eastAsia" w:ascii="Times New Roman" w:hAnsi="Times New Roman" w:eastAsia="仿宋_GB2312" w:cs="Times New Roman"/>
          <w:color w:val="auto"/>
          <w:sz w:val="32"/>
          <w:szCs w:val="32"/>
        </w:rPr>
        <w:t>项目申报单位须至少联合</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家国外、港澳台地区或中科院下属科研院所的参与单位共同实施。</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 </w:t>
      </w:r>
      <w:r>
        <w:rPr>
          <w:rFonts w:hint="eastAsia" w:ascii="Times New Roman" w:hAnsi="Times New Roman" w:eastAsia="仿宋_GB2312" w:cs="Times New Roman"/>
          <w:color w:val="auto"/>
          <w:sz w:val="32"/>
          <w:szCs w:val="32"/>
        </w:rPr>
        <w:t>项目须纳入园区重点规划。</w:t>
      </w:r>
    </w:p>
    <w:p>
      <w:pPr>
        <w:pStyle w:val="15"/>
        <w:spacing w:line="600" w:lineRule="exact"/>
        <w:rPr>
          <w:rFonts w:ascii="Times New Roman" w:hAnsi="Times New Roman" w:eastAsia="仿宋_GB2312" w:cs="Times New Roman"/>
          <w:color w:val="auto"/>
          <w:sz w:val="32"/>
          <w:szCs w:val="32"/>
        </w:rPr>
      </w:pPr>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3975"/>
      </w:tabs>
      <w:rPr>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posOffset>5445125</wp:posOffset>
              </wp:positionH>
              <wp:positionV relativeFrom="paragraph">
                <wp:posOffset>0</wp:posOffset>
              </wp:positionV>
              <wp:extent cx="561975"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561975" cy="1828800"/>
                      </a:xfrm>
                      <a:prstGeom prst="rect">
                        <a:avLst/>
                      </a:prstGeom>
                      <a:noFill/>
                      <a:ln w="6350">
                        <a:noFill/>
                      </a:ln>
                    </wps:spPr>
                    <wps:txbx>
                      <w:txbxContent>
                        <w:p>
                          <w:pPr>
                            <w:snapToGrid w:val="0"/>
                            <w:rPr>
                              <w:rFonts w:ascii="Times New Roman" w:hAnsi="Times New Roman" w:cs="Times New Roman"/>
                              <w:sz w:val="28"/>
                              <w:szCs w:val="28"/>
                            </w:rPr>
                          </w:pPr>
                          <w:r>
                            <w:rPr>
                              <w:rFonts w:hint="eastAsia" w:ascii="宋体" w:hAnsi="宋体" w:eastAsia="宋体" w:cs="宋体"/>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hint="eastAsia" w:ascii="宋体" w:hAnsi="宋体" w:eastAsia="宋体" w:cs="宋体"/>
                              <w:sz w:val="28"/>
                              <w:szCs w:val="28"/>
                            </w:rPr>
                            <w:t>—</w:t>
                          </w:r>
                        </w:p>
                      </w:txbxContent>
                    </wps:txbx>
                    <wps:bodyPr wrap="square" lIns="0" tIns="0" rIns="0" bIns="0" upright="1">
                      <a:spAutoFit/>
                    </wps:bodyPr>
                  </wps:wsp>
                </a:graphicData>
              </a:graphic>
            </wp:anchor>
          </w:drawing>
        </mc:Choice>
        <mc:Fallback>
          <w:pict>
            <v:shape id="文本框 10" o:spid="_x0000_s1026" o:spt="202" type="#_x0000_t202" style="position:absolute;left:0pt;margin-left:428.75pt;margin-top:0pt;height:144pt;width:44.25pt;mso-position-horizontal-relative:margin;z-index:251658240;mso-width-relative:page;mso-height-relative:page;" filled="f" stroked="f" coordsize="21600,21600" o:gfxdata="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IOVrLXAAAACAEAAA8AAAAAAAAAAQAgAAAAIgAAAGRycy9kb3ducmV2LnhtbFBL&#10;AQIUABQAAAAIAIdO4kAYsYl1vgEAAFYDAAAOAAAAAAAAAAEAIAAAACYBAABkcnMvZTJvRG9jLnht&#10;bFBLBQYAAAAABgAGAFkBAABWBQAAAAA=&#10;">
              <v:fill on="f" focussize="0,0"/>
              <v:stroke on="f" weight="0.5pt"/>
              <v:imagedata o:title=""/>
              <o:lock v:ext="edit" aspectratio="f"/>
              <v:textbox inset="0mm,0mm,0mm,0mm" style="mso-fit-shape-to-text:t;">
                <w:txbxContent>
                  <w:p>
                    <w:pPr>
                      <w:snapToGrid w:val="0"/>
                      <w:rPr>
                        <w:rFonts w:ascii="Times New Roman" w:hAnsi="Times New Roman" w:cs="Times New Roman"/>
                        <w:sz w:val="28"/>
                        <w:szCs w:val="28"/>
                      </w:rPr>
                    </w:pPr>
                    <w:r>
                      <w:rPr>
                        <w:rFonts w:hint="eastAsia" w:ascii="宋体" w:hAnsi="宋体" w:eastAsia="宋体" w:cs="宋体"/>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hint="eastAsia" w:ascii="宋体" w:hAnsi="宋体" w:eastAsia="宋体" w:cs="宋体"/>
                        <w:sz w:val="28"/>
                        <w:szCs w:val="28"/>
                      </w:rPr>
                      <w:t>—</w:t>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AC"/>
    <w:rsid w:val="00055B42"/>
    <w:rsid w:val="000A6A6A"/>
    <w:rsid w:val="000A70F2"/>
    <w:rsid w:val="001001B0"/>
    <w:rsid w:val="00154D55"/>
    <w:rsid w:val="00195336"/>
    <w:rsid w:val="001C5CC2"/>
    <w:rsid w:val="001F38AF"/>
    <w:rsid w:val="00220B36"/>
    <w:rsid w:val="00243453"/>
    <w:rsid w:val="002718AF"/>
    <w:rsid w:val="002A780E"/>
    <w:rsid w:val="002F6313"/>
    <w:rsid w:val="00304047"/>
    <w:rsid w:val="003154D7"/>
    <w:rsid w:val="003351F4"/>
    <w:rsid w:val="00452E81"/>
    <w:rsid w:val="00453C39"/>
    <w:rsid w:val="00533A72"/>
    <w:rsid w:val="005A6C9E"/>
    <w:rsid w:val="005E5740"/>
    <w:rsid w:val="005F16A6"/>
    <w:rsid w:val="0060634F"/>
    <w:rsid w:val="00647C84"/>
    <w:rsid w:val="00656CBE"/>
    <w:rsid w:val="006A79E8"/>
    <w:rsid w:val="006C464B"/>
    <w:rsid w:val="006D2212"/>
    <w:rsid w:val="00707FAC"/>
    <w:rsid w:val="007127E1"/>
    <w:rsid w:val="00776F1E"/>
    <w:rsid w:val="007D41C4"/>
    <w:rsid w:val="0088220B"/>
    <w:rsid w:val="008A088E"/>
    <w:rsid w:val="008C1908"/>
    <w:rsid w:val="00925063"/>
    <w:rsid w:val="00927CFA"/>
    <w:rsid w:val="00937FE2"/>
    <w:rsid w:val="009C0B47"/>
    <w:rsid w:val="009E6C1C"/>
    <w:rsid w:val="00A1703A"/>
    <w:rsid w:val="00A212BB"/>
    <w:rsid w:val="00AB0FE3"/>
    <w:rsid w:val="00BF0E5A"/>
    <w:rsid w:val="00BF1E3D"/>
    <w:rsid w:val="00C0370C"/>
    <w:rsid w:val="00C245B0"/>
    <w:rsid w:val="00C51C4D"/>
    <w:rsid w:val="00CB1B46"/>
    <w:rsid w:val="00D27B78"/>
    <w:rsid w:val="00D33E43"/>
    <w:rsid w:val="00D536E4"/>
    <w:rsid w:val="00D672B4"/>
    <w:rsid w:val="00D75424"/>
    <w:rsid w:val="00D75992"/>
    <w:rsid w:val="00D82277"/>
    <w:rsid w:val="00DF200E"/>
    <w:rsid w:val="00E32E56"/>
    <w:rsid w:val="00E378B1"/>
    <w:rsid w:val="00ED5149"/>
    <w:rsid w:val="00F43910"/>
    <w:rsid w:val="00F47457"/>
    <w:rsid w:val="00F67204"/>
    <w:rsid w:val="00F72480"/>
    <w:rsid w:val="00F864DD"/>
    <w:rsid w:val="017964B9"/>
    <w:rsid w:val="03104C4F"/>
    <w:rsid w:val="031D19D3"/>
    <w:rsid w:val="046B0CB0"/>
    <w:rsid w:val="04CC10D1"/>
    <w:rsid w:val="054B31C3"/>
    <w:rsid w:val="05BE763E"/>
    <w:rsid w:val="070D3936"/>
    <w:rsid w:val="07AE082A"/>
    <w:rsid w:val="07C87E52"/>
    <w:rsid w:val="085A6CCF"/>
    <w:rsid w:val="09AF65D8"/>
    <w:rsid w:val="0B945979"/>
    <w:rsid w:val="0C22771F"/>
    <w:rsid w:val="0C79313C"/>
    <w:rsid w:val="0E836B4A"/>
    <w:rsid w:val="0F450AA8"/>
    <w:rsid w:val="10AC3B61"/>
    <w:rsid w:val="11C8179A"/>
    <w:rsid w:val="13DF427E"/>
    <w:rsid w:val="14565286"/>
    <w:rsid w:val="14585E5E"/>
    <w:rsid w:val="14EF1875"/>
    <w:rsid w:val="14F04CBA"/>
    <w:rsid w:val="161F0DEA"/>
    <w:rsid w:val="16380A18"/>
    <w:rsid w:val="166D3FE5"/>
    <w:rsid w:val="168263FA"/>
    <w:rsid w:val="174E0DC3"/>
    <w:rsid w:val="17810143"/>
    <w:rsid w:val="18024B0D"/>
    <w:rsid w:val="18B77192"/>
    <w:rsid w:val="1A43386B"/>
    <w:rsid w:val="1A5E132F"/>
    <w:rsid w:val="1A994637"/>
    <w:rsid w:val="1AD35C2B"/>
    <w:rsid w:val="1BCE6E81"/>
    <w:rsid w:val="1D865C53"/>
    <w:rsid w:val="1ED72F13"/>
    <w:rsid w:val="1F9A7A60"/>
    <w:rsid w:val="20211A77"/>
    <w:rsid w:val="20C7655C"/>
    <w:rsid w:val="20DB7FAC"/>
    <w:rsid w:val="20F13E41"/>
    <w:rsid w:val="21C22FA6"/>
    <w:rsid w:val="21DE6ED2"/>
    <w:rsid w:val="22F47F0E"/>
    <w:rsid w:val="24710D90"/>
    <w:rsid w:val="25044046"/>
    <w:rsid w:val="261779B0"/>
    <w:rsid w:val="27D92C95"/>
    <w:rsid w:val="28083E0B"/>
    <w:rsid w:val="284B22EE"/>
    <w:rsid w:val="286F71A1"/>
    <w:rsid w:val="28831270"/>
    <w:rsid w:val="28A7536D"/>
    <w:rsid w:val="29476E72"/>
    <w:rsid w:val="2A9D29DC"/>
    <w:rsid w:val="2B2E1C41"/>
    <w:rsid w:val="2B760B77"/>
    <w:rsid w:val="2B8D5DC6"/>
    <w:rsid w:val="2C487C2A"/>
    <w:rsid w:val="2C5E3453"/>
    <w:rsid w:val="2D6B5AB6"/>
    <w:rsid w:val="2EC72712"/>
    <w:rsid w:val="2EF848BC"/>
    <w:rsid w:val="30054467"/>
    <w:rsid w:val="30355248"/>
    <w:rsid w:val="30DC2392"/>
    <w:rsid w:val="320C5B67"/>
    <w:rsid w:val="32783673"/>
    <w:rsid w:val="33775706"/>
    <w:rsid w:val="337F3946"/>
    <w:rsid w:val="343F7498"/>
    <w:rsid w:val="352066CF"/>
    <w:rsid w:val="353F3B9C"/>
    <w:rsid w:val="35830718"/>
    <w:rsid w:val="35FB74F7"/>
    <w:rsid w:val="374F3A41"/>
    <w:rsid w:val="37D00A24"/>
    <w:rsid w:val="391354CB"/>
    <w:rsid w:val="397752F3"/>
    <w:rsid w:val="39796E44"/>
    <w:rsid w:val="39807B91"/>
    <w:rsid w:val="39B42E36"/>
    <w:rsid w:val="3BC127B3"/>
    <w:rsid w:val="3BC208D3"/>
    <w:rsid w:val="3BFF124A"/>
    <w:rsid w:val="3CCF1326"/>
    <w:rsid w:val="3CEC2994"/>
    <w:rsid w:val="3D2932E8"/>
    <w:rsid w:val="3E472642"/>
    <w:rsid w:val="3EE65434"/>
    <w:rsid w:val="3F3F28D1"/>
    <w:rsid w:val="3FD64F9F"/>
    <w:rsid w:val="40A47155"/>
    <w:rsid w:val="40C44A28"/>
    <w:rsid w:val="412D4208"/>
    <w:rsid w:val="41C94445"/>
    <w:rsid w:val="41F00BEC"/>
    <w:rsid w:val="427746EB"/>
    <w:rsid w:val="42C21BB3"/>
    <w:rsid w:val="437C3186"/>
    <w:rsid w:val="43914FF0"/>
    <w:rsid w:val="449825C2"/>
    <w:rsid w:val="44AD5AFC"/>
    <w:rsid w:val="44FF47A4"/>
    <w:rsid w:val="457A0B8D"/>
    <w:rsid w:val="45B52A7B"/>
    <w:rsid w:val="470D1925"/>
    <w:rsid w:val="47810B41"/>
    <w:rsid w:val="487503D2"/>
    <w:rsid w:val="491B6CF5"/>
    <w:rsid w:val="49FE3290"/>
    <w:rsid w:val="4B23325A"/>
    <w:rsid w:val="4DD827A3"/>
    <w:rsid w:val="4F1E683F"/>
    <w:rsid w:val="526319B3"/>
    <w:rsid w:val="5492276E"/>
    <w:rsid w:val="55605AB4"/>
    <w:rsid w:val="55872393"/>
    <w:rsid w:val="57F77295"/>
    <w:rsid w:val="58A44F12"/>
    <w:rsid w:val="592E2B15"/>
    <w:rsid w:val="5AED1C09"/>
    <w:rsid w:val="5CFC7479"/>
    <w:rsid w:val="5F0A0825"/>
    <w:rsid w:val="5F5150AD"/>
    <w:rsid w:val="60B80E03"/>
    <w:rsid w:val="61423B5B"/>
    <w:rsid w:val="616D4FEB"/>
    <w:rsid w:val="61862B20"/>
    <w:rsid w:val="62B96F5E"/>
    <w:rsid w:val="62E53EDC"/>
    <w:rsid w:val="630E6B47"/>
    <w:rsid w:val="659B6147"/>
    <w:rsid w:val="66A0361E"/>
    <w:rsid w:val="66E422E4"/>
    <w:rsid w:val="66FF6EDD"/>
    <w:rsid w:val="695659F7"/>
    <w:rsid w:val="6BBF19F3"/>
    <w:rsid w:val="6BFC6718"/>
    <w:rsid w:val="6C19661C"/>
    <w:rsid w:val="6C4A402E"/>
    <w:rsid w:val="6C771BAD"/>
    <w:rsid w:val="6CA178F4"/>
    <w:rsid w:val="6F620711"/>
    <w:rsid w:val="6F8A5970"/>
    <w:rsid w:val="6FA21FA0"/>
    <w:rsid w:val="6FA23FC5"/>
    <w:rsid w:val="70D67C9A"/>
    <w:rsid w:val="716C0195"/>
    <w:rsid w:val="717B3ABE"/>
    <w:rsid w:val="719D666F"/>
    <w:rsid w:val="71EB0C80"/>
    <w:rsid w:val="72AC722E"/>
    <w:rsid w:val="73D11E05"/>
    <w:rsid w:val="73EC1235"/>
    <w:rsid w:val="745E7648"/>
    <w:rsid w:val="74823958"/>
    <w:rsid w:val="74EB5E02"/>
    <w:rsid w:val="7591662D"/>
    <w:rsid w:val="76FE0B36"/>
    <w:rsid w:val="77714A62"/>
    <w:rsid w:val="77A900DF"/>
    <w:rsid w:val="77F56037"/>
    <w:rsid w:val="78DF3E20"/>
    <w:rsid w:val="7A91255E"/>
    <w:rsid w:val="7AC07C08"/>
    <w:rsid w:val="7BFF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unhideWhenUsed/>
    <w:qFormat/>
    <w:uiPriority w:val="9"/>
    <w:pPr>
      <w:keepNext/>
      <w:keepLines/>
      <w:spacing w:line="416" w:lineRule="auto"/>
      <w:outlineLvl w:val="1"/>
    </w:pPr>
    <w:rPr>
      <w:rFonts w:ascii="Calibri Light" w:hAnsi="Calibri Light" w:eastAsia="宋体" w:cs="Calibri Light"/>
      <w:b/>
      <w:bCs/>
      <w:sz w:val="32"/>
      <w:szCs w:val="32"/>
    </w:rPr>
  </w:style>
  <w:style w:type="character" w:default="1" w:styleId="12">
    <w:name w:val="Default Paragraph Font"/>
    <w:unhideWhenUsed/>
    <w:uiPriority w:val="1"/>
  </w:style>
  <w:style w:type="table" w:default="1" w:styleId="11">
    <w:name w:val="Normal Table"/>
    <w:unhideWhenUsed/>
    <w:uiPriority w:val="99"/>
    <w:tblPr>
      <w:tblCellMar>
        <w:top w:w="0" w:type="dxa"/>
        <w:left w:w="108" w:type="dxa"/>
        <w:bottom w:w="0" w:type="dxa"/>
        <w:right w:w="108" w:type="dxa"/>
      </w:tblCellMar>
    </w:tblPr>
  </w:style>
  <w:style w:type="paragraph" w:customStyle="1" w:styleId="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rPr>
  </w:style>
  <w:style w:type="paragraph" w:styleId="5">
    <w:name w:val="annotation text"/>
    <w:basedOn w:val="1"/>
    <w:unhideWhenUsed/>
    <w:qFormat/>
    <w:uiPriority w:val="99"/>
    <w:pPr>
      <w:jc w:val="left"/>
    </w:pPr>
  </w:style>
  <w:style w:type="paragraph" w:styleId="6">
    <w:name w:val="endnote text"/>
    <w:basedOn w:val="1"/>
    <w:unhideWhenUsed/>
    <w:qFormat/>
    <w:uiPriority w:val="99"/>
  </w:style>
  <w:style w:type="paragraph" w:styleId="7">
    <w:name w:val="Balloon Text"/>
    <w:basedOn w:val="1"/>
    <w:link w:val="21"/>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unhideWhenUsed/>
    <w:qFormat/>
    <w:uiPriority w:val="99"/>
  </w:style>
  <w:style w:type="character" w:styleId="14">
    <w:name w:val="Hyperlink"/>
    <w:basedOn w:val="12"/>
    <w:unhideWhenUsed/>
    <w:qFormat/>
    <w:uiPriority w:val="99"/>
    <w:rPr>
      <w:color w:val="0000FF"/>
      <w:u w:val="single"/>
    </w:rPr>
  </w:style>
  <w:style w:type="paragraph" w:customStyle="1" w:styleId="15">
    <w:name w:val="EndnoteText"/>
    <w:basedOn w:val="1"/>
    <w:qFormat/>
    <w:uiPriority w:val="0"/>
  </w:style>
  <w:style w:type="character" w:customStyle="1" w:styleId="16">
    <w:name w:val="fontstyle01"/>
    <w:basedOn w:val="12"/>
    <w:qFormat/>
    <w:uiPriority w:val="0"/>
    <w:rPr>
      <w:rFonts w:hint="eastAsia" w:ascii="仿宋_GB2312" w:eastAsia="仿宋_GB2312"/>
      <w:color w:val="000000"/>
      <w:sz w:val="32"/>
      <w:szCs w:val="32"/>
    </w:rPr>
  </w:style>
  <w:style w:type="character" w:customStyle="1" w:styleId="17">
    <w:name w:val="fontstyle21"/>
    <w:basedOn w:val="12"/>
    <w:qFormat/>
    <w:uiPriority w:val="0"/>
    <w:rPr>
      <w:rFonts w:hint="default" w:ascii="TimesNewRomanPSMT" w:hAnsi="TimesNewRomanPSMT"/>
      <w:color w:val="000000"/>
      <w:sz w:val="32"/>
      <w:szCs w:val="32"/>
    </w:rPr>
  </w:style>
  <w:style w:type="character" w:customStyle="1" w:styleId="18">
    <w:name w:val="fontstyle31"/>
    <w:basedOn w:val="12"/>
    <w:qFormat/>
    <w:uiPriority w:val="0"/>
    <w:rPr>
      <w:rFonts w:hint="eastAsia" w:ascii="宋体" w:hAnsi="宋体" w:eastAsia="宋体"/>
      <w:color w:val="000000"/>
      <w:sz w:val="28"/>
      <w:szCs w:val="28"/>
    </w:rPr>
  </w:style>
  <w:style w:type="paragraph" w:customStyle="1" w:styleId="19">
    <w:name w:val="列出段落1"/>
    <w:basedOn w:val="1"/>
    <w:qFormat/>
    <w:uiPriority w:val="34"/>
    <w:pPr>
      <w:ind w:firstLine="420" w:firstLineChars="200"/>
    </w:pPr>
  </w:style>
  <w:style w:type="paragraph" w:customStyle="1" w:styleId="20">
    <w:name w:val="样式 文字 + 首行缩进:  2 字符3"/>
    <w:basedOn w:val="1"/>
    <w:qFormat/>
    <w:uiPriority w:val="0"/>
    <w:pPr>
      <w:spacing w:line="360" w:lineRule="auto"/>
      <w:jc w:val="left"/>
    </w:pPr>
    <w:rPr>
      <w:sz w:val="28"/>
      <w:szCs w:val="28"/>
    </w:rPr>
  </w:style>
  <w:style w:type="character" w:customStyle="1" w:styleId="21">
    <w:name w:val="批注框文本 Char"/>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DC7B5-2405-4C9A-A0E0-3476AFE5F6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8547</Words>
  <Characters>9546</Characters>
  <Lines>95</Lines>
  <Paragraphs>26</Paragraphs>
  <TotalTime>2</TotalTime>
  <ScaleCrop>false</ScaleCrop>
  <LinksUpToDate>false</LinksUpToDate>
  <CharactersWithSpaces>9911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2021-01-12T07:02:00Z</dcterms:created>
  <dc:creator>张小平</dc:creator>
  <cp:lastModifiedBy>刘泉江</cp:lastModifiedBy>
  <cp:lastPrinted>2021-03-10T01:57:00Z</cp:lastPrinted>
  <dcterms:modified xsi:type="dcterms:W3CDTF">2021-03-11T09:34:49Z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