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20" w:lineRule="exact"/>
        <w:jc w:val="center"/>
        <w:textAlignment w:val="center"/>
        <w:rPr>
          <w:rFonts w:ascii="黑体" w:hAnsi="黑体" w:eastAsia="黑体" w:cs="黑体"/>
          <w:color w:val="000000"/>
          <w:kern w:val="0"/>
          <w:sz w:val="36"/>
          <w:szCs w:val="36"/>
        </w:rPr>
      </w:pPr>
      <w:r>
        <w:rPr>
          <w:rFonts w:hint="eastAsia" w:ascii="黑体" w:hAnsi="黑体" w:eastAsia="黑体" w:cs="黑体"/>
          <w:color w:val="000000"/>
          <w:kern w:val="0"/>
          <w:sz w:val="36"/>
          <w:szCs w:val="36"/>
        </w:rPr>
        <w:t>湖南科技学院2023年度科学研究项目</w:t>
      </w:r>
    </w:p>
    <w:p>
      <w:pPr>
        <w:widowControl/>
        <w:spacing w:line="620" w:lineRule="exact"/>
        <w:jc w:val="center"/>
        <w:textAlignment w:val="center"/>
        <w:rPr>
          <w:rFonts w:hint="eastAsia" w:ascii="黑体" w:hAnsi="黑体" w:eastAsia="黑体" w:cs="黑体"/>
          <w:color w:val="000000"/>
          <w:kern w:val="0"/>
          <w:sz w:val="36"/>
          <w:szCs w:val="36"/>
          <w:lang w:val="en-US" w:eastAsia="zh-CN"/>
        </w:rPr>
      </w:pPr>
      <w:r>
        <w:rPr>
          <w:rFonts w:hint="eastAsia" w:ascii="黑体" w:hAnsi="黑体" w:eastAsia="黑体" w:cs="黑体"/>
          <w:color w:val="000000"/>
          <w:kern w:val="0"/>
          <w:sz w:val="36"/>
          <w:szCs w:val="36"/>
          <w:lang w:val="en-US" w:eastAsia="zh-CN"/>
        </w:rPr>
        <w:t>课题指南</w:t>
      </w:r>
      <w:bookmarkStart w:id="0" w:name="_GoBack"/>
      <w:bookmarkEnd w:id="0"/>
    </w:p>
    <w:p>
      <w:pPr>
        <w:widowControl/>
        <w:spacing w:line="620" w:lineRule="exact"/>
        <w:jc w:val="center"/>
        <w:textAlignment w:val="center"/>
        <w:rPr>
          <w:rFonts w:hint="default" w:ascii="黑体" w:hAnsi="黑体" w:eastAsia="黑体" w:cs="黑体"/>
          <w:color w:val="000000"/>
          <w:kern w:val="0"/>
          <w:sz w:val="36"/>
          <w:szCs w:val="36"/>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1.</w:t>
      </w:r>
      <w:r>
        <w:rPr>
          <w:rFonts w:hint="eastAsia" w:ascii="仿宋" w:hAnsi="仿宋" w:eastAsia="仿宋" w:cs="仿宋"/>
          <w:b/>
          <w:bCs/>
          <w:color w:val="000000"/>
          <w:sz w:val="30"/>
          <w:szCs w:val="30"/>
        </w:rPr>
        <w:t>红色资源引领社会主义核心价值观宣传教育的路径研究</w:t>
      </w:r>
    </w:p>
    <w:p>
      <w:pPr>
        <w:spacing w:line="360" w:lineRule="auto"/>
        <w:rPr>
          <w:rFonts w:hint="eastAsia" w:ascii="仿宋" w:hAnsi="仿宋" w:eastAsia="仿宋" w:cs="仿宋"/>
          <w:b/>
          <w:bCs/>
          <w:color w:val="000000"/>
          <w:sz w:val="30"/>
          <w:szCs w:val="30"/>
        </w:rPr>
      </w:pPr>
      <w:r>
        <w:rPr>
          <w:rFonts w:hint="eastAsia" w:ascii="仿宋" w:hAnsi="仿宋" w:eastAsia="仿宋" w:cs="仿宋"/>
          <w:color w:val="000000"/>
          <w:sz w:val="24"/>
        </w:rPr>
        <w:t>红色资源引领新时代大学生社会主义核心价值观宣传教育的路径研究；地方红色文化融入高校暑期“三下乡”的路径研究；地方高校暑期“三下乡”规范化建设研究</w:t>
      </w:r>
      <w:r>
        <w:rPr>
          <w:rFonts w:hint="eastAsia" w:ascii="仿宋" w:hAnsi="仿宋" w:eastAsia="仿宋" w:cs="仿宋"/>
          <w:color w:val="000000"/>
          <w:sz w:val="24"/>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kern w:val="2"/>
          <w:sz w:val="30"/>
          <w:szCs w:val="30"/>
          <w:lang w:val="en-US"/>
        </w:rPr>
      </w:pPr>
      <w:r>
        <w:rPr>
          <w:rFonts w:hint="eastAsia" w:ascii="仿宋" w:hAnsi="仿宋" w:eastAsia="仿宋" w:cs="仿宋"/>
          <w:b/>
          <w:bCs/>
          <w:color w:val="000000"/>
          <w:kern w:val="2"/>
          <w:sz w:val="30"/>
          <w:szCs w:val="30"/>
          <w:lang w:val="en-US" w:eastAsia="zh-CN"/>
        </w:rPr>
        <w:t>2.</w:t>
      </w:r>
      <w:r>
        <w:rPr>
          <w:rFonts w:hint="eastAsia" w:ascii="仿宋" w:hAnsi="仿宋" w:eastAsia="仿宋" w:cs="仿宋"/>
          <w:b/>
          <w:bCs/>
          <w:color w:val="000000"/>
          <w:kern w:val="2"/>
          <w:sz w:val="30"/>
          <w:szCs w:val="30"/>
          <w:lang w:val="en-US"/>
        </w:rPr>
        <w:t>湖湘文化对外传播话语体系构建研究</w:t>
      </w:r>
    </w:p>
    <w:p>
      <w:pPr>
        <w:numPr>
          <w:ilvl w:val="0"/>
          <w:numId w:val="0"/>
        </w:numPr>
        <w:spacing w:line="360" w:lineRule="auto"/>
        <w:rPr>
          <w:rFonts w:hint="eastAsia" w:ascii="仿宋" w:hAnsi="仿宋" w:eastAsia="仿宋" w:cs="仿宋"/>
          <w:b/>
          <w:bCs/>
          <w:color w:val="000000"/>
          <w:kern w:val="2"/>
          <w:sz w:val="30"/>
          <w:szCs w:val="30"/>
          <w:lang w:val="en-US" w:eastAsia="zh-CN"/>
        </w:rPr>
      </w:pPr>
      <w:r>
        <w:rPr>
          <w:rFonts w:hint="eastAsia" w:ascii="仿宋" w:hAnsi="仿宋" w:eastAsia="仿宋" w:cs="仿宋"/>
          <w:color w:val="000000"/>
          <w:sz w:val="24"/>
          <w:lang w:val="en-US" w:eastAsia="zh-CN"/>
        </w:rPr>
        <w:t>湖湘文化对外传播话语体系生成路径研究；湖湘文化典籍翻译理论与实践研究；湖湘文化对外传播译介模式研究；湖湘文化对外话语语料库研究；湖湘文化对外传播策略研究。</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3.</w:t>
      </w:r>
      <w:r>
        <w:rPr>
          <w:rFonts w:hint="eastAsia" w:ascii="仿宋" w:hAnsi="仿宋" w:eastAsia="仿宋" w:cs="仿宋"/>
          <w:b/>
          <w:bCs/>
          <w:color w:val="000000"/>
          <w:sz w:val="30"/>
          <w:szCs w:val="30"/>
        </w:rPr>
        <w:t>湘粤优势特色产业协同发展研究</w:t>
      </w:r>
    </w:p>
    <w:p>
      <w:pPr>
        <w:spacing w:line="360" w:lineRule="auto"/>
        <w:rPr>
          <w:rFonts w:hint="eastAsia" w:ascii="仿宋" w:hAnsi="仿宋" w:eastAsia="仿宋" w:cs="仿宋"/>
          <w:b/>
          <w:bCs/>
          <w:color w:val="000000"/>
          <w:sz w:val="30"/>
          <w:szCs w:val="30"/>
        </w:rPr>
      </w:pPr>
      <w:r>
        <w:rPr>
          <w:rFonts w:hint="eastAsia" w:ascii="仿宋" w:hAnsi="仿宋" w:eastAsia="仿宋" w:cs="仿宋"/>
          <w:color w:val="000000"/>
          <w:sz w:val="24"/>
        </w:rPr>
        <w:t>对接粤港澳背景下湖南物联网变革传统商业模式研究；对接粤港澳背景下永州经济发展路径研究；对接粤港澳背景下永州优势特色产业品牌建设路径研究；数字经济赋能永州乡村产业振兴的机理与路径研究；对接粤港澳背景下永州电商发展对策研究</w:t>
      </w:r>
      <w:r>
        <w:rPr>
          <w:rFonts w:hint="eastAsia" w:ascii="仿宋" w:hAnsi="仿宋" w:eastAsia="仿宋" w:cs="仿宋"/>
          <w:color w:val="000000"/>
          <w:sz w:val="24"/>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sz w:val="30"/>
          <w:szCs w:val="30"/>
          <w:lang w:eastAsia="zh-CN"/>
        </w:rPr>
      </w:pPr>
      <w:r>
        <w:rPr>
          <w:rFonts w:hint="eastAsia" w:ascii="仿宋" w:hAnsi="仿宋" w:eastAsia="仿宋" w:cs="仿宋"/>
          <w:b/>
          <w:bCs/>
          <w:color w:val="000000"/>
          <w:sz w:val="30"/>
          <w:szCs w:val="30"/>
          <w:lang w:val="en-US" w:eastAsia="zh-CN"/>
        </w:rPr>
        <w:t>4.</w:t>
      </w:r>
      <w:r>
        <w:rPr>
          <w:rFonts w:hint="eastAsia" w:ascii="仿宋" w:hAnsi="仿宋" w:eastAsia="仿宋" w:cs="仿宋"/>
          <w:b/>
          <w:bCs/>
          <w:color w:val="000000"/>
          <w:sz w:val="30"/>
          <w:szCs w:val="30"/>
        </w:rPr>
        <w:t>乡村振兴</w:t>
      </w:r>
      <w:r>
        <w:rPr>
          <w:rFonts w:hint="eastAsia" w:ascii="仿宋" w:hAnsi="仿宋" w:eastAsia="仿宋" w:cs="仿宋"/>
          <w:b/>
          <w:bCs/>
          <w:color w:val="000000"/>
          <w:sz w:val="30"/>
          <w:szCs w:val="30"/>
          <w:lang w:eastAsia="zh-CN"/>
        </w:rPr>
        <w:t>背景下</w:t>
      </w:r>
      <w:r>
        <w:rPr>
          <w:rFonts w:hint="eastAsia" w:ascii="仿宋" w:hAnsi="仿宋" w:eastAsia="仿宋" w:cs="仿宋"/>
          <w:b/>
          <w:bCs/>
          <w:color w:val="000000"/>
          <w:sz w:val="30"/>
          <w:szCs w:val="30"/>
          <w:lang w:val="en-US" w:eastAsia="zh-CN"/>
        </w:rPr>
        <w:t>永州</w:t>
      </w:r>
      <w:r>
        <w:rPr>
          <w:rFonts w:hint="eastAsia" w:ascii="仿宋" w:hAnsi="仿宋" w:eastAsia="仿宋" w:cs="仿宋"/>
          <w:b/>
          <w:bCs/>
          <w:color w:val="000000"/>
          <w:sz w:val="30"/>
          <w:szCs w:val="30"/>
        </w:rPr>
        <w:t>地方文旅发展</w:t>
      </w:r>
      <w:r>
        <w:rPr>
          <w:rFonts w:hint="eastAsia" w:ascii="仿宋" w:hAnsi="仿宋" w:eastAsia="仿宋" w:cs="仿宋"/>
          <w:b/>
          <w:bCs/>
          <w:color w:val="000000"/>
          <w:sz w:val="30"/>
          <w:szCs w:val="30"/>
          <w:lang w:eastAsia="zh-CN"/>
        </w:rPr>
        <w:t>研究</w:t>
      </w:r>
    </w:p>
    <w:p>
      <w:pPr>
        <w:spacing w:line="360" w:lineRule="auto"/>
        <w:rPr>
          <w:rFonts w:hint="eastAsia" w:ascii="仿宋" w:hAnsi="仿宋" w:eastAsia="仿宋" w:cs="仿宋"/>
          <w:b/>
          <w:bCs/>
          <w:color w:val="000000"/>
          <w:sz w:val="30"/>
          <w:szCs w:val="30"/>
          <w:lang w:eastAsia="zh-CN"/>
        </w:rPr>
      </w:pPr>
      <w:r>
        <w:rPr>
          <w:rFonts w:hint="eastAsia" w:ascii="仿宋" w:hAnsi="仿宋" w:eastAsia="仿宋" w:cs="仿宋"/>
          <w:color w:val="000000"/>
          <w:sz w:val="24"/>
        </w:rPr>
        <w:t>乡村振兴背景下永州土地要素收益分配改革研究；永州农村金融服务乡村产业振兴的机制与路径研究；乡村振兴背景下永州农副产品电子商务模式创新研究；绿色金融对永州市产业转型升级的影响研究；永州新生代农民工返乡创业与乡村振兴的联动机制研究；技术创新驱动地方区域产业结构升级中财政投入优化研究</w:t>
      </w:r>
      <w:r>
        <w:rPr>
          <w:rFonts w:hint="eastAsia" w:ascii="仿宋" w:hAnsi="仿宋" w:eastAsia="仿宋" w:cs="仿宋"/>
          <w:color w:val="000000"/>
          <w:sz w:val="24"/>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kern w:val="2"/>
          <w:sz w:val="30"/>
          <w:szCs w:val="30"/>
          <w:lang w:val="en-US"/>
        </w:rPr>
      </w:pPr>
      <w:r>
        <w:rPr>
          <w:rFonts w:hint="eastAsia" w:ascii="仿宋" w:hAnsi="仿宋" w:eastAsia="仿宋" w:cs="仿宋"/>
          <w:b/>
          <w:bCs/>
          <w:color w:val="000000"/>
          <w:kern w:val="2"/>
          <w:sz w:val="30"/>
          <w:szCs w:val="30"/>
          <w:lang w:val="en-US" w:eastAsia="zh-CN"/>
        </w:rPr>
        <w:t>5.</w:t>
      </w:r>
      <w:r>
        <w:rPr>
          <w:rFonts w:hint="eastAsia" w:ascii="仿宋" w:hAnsi="仿宋" w:eastAsia="仿宋" w:cs="仿宋"/>
          <w:b/>
          <w:bCs/>
          <w:color w:val="000000"/>
          <w:kern w:val="2"/>
          <w:sz w:val="30"/>
          <w:szCs w:val="30"/>
          <w:lang w:val="en-US"/>
        </w:rPr>
        <w:t>潇水流域地方文献收集、整理与研究</w:t>
      </w:r>
    </w:p>
    <w:p>
      <w:pPr>
        <w:numPr>
          <w:ilvl w:val="0"/>
          <w:numId w:val="0"/>
        </w:numPr>
        <w:spacing w:line="360" w:lineRule="auto"/>
        <w:rPr>
          <w:rFonts w:hint="eastAsia" w:ascii="仿宋" w:hAnsi="仿宋" w:eastAsia="仿宋" w:cs="仿宋"/>
          <w:b/>
          <w:bCs/>
          <w:color w:val="000000"/>
          <w:kern w:val="2"/>
          <w:sz w:val="30"/>
          <w:szCs w:val="30"/>
          <w:lang w:val="en-US" w:eastAsia="zh-CN"/>
        </w:rPr>
      </w:pPr>
      <w:r>
        <w:rPr>
          <w:rFonts w:hint="eastAsia" w:ascii="仿宋" w:hAnsi="仿宋" w:eastAsia="仿宋" w:cs="仿宋"/>
          <w:color w:val="000000"/>
          <w:sz w:val="24"/>
          <w:lang w:val="en-US" w:eastAsia="zh-CN"/>
        </w:rPr>
        <w:t>潇水流域历代名人文献整理与研究；潇水流域三国人物故事整理与研究；潇水流域瑶族民间文献整理与研究；潇水流域女书文献作品整理与研究；潇水流域当代作家作品整理与研究；潇水流域（瑶族）民间习惯法整理与研究；潇水流域石刻书法作品整理与研究；潇水流域祁剧经典曲目整理与研究。</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kern w:val="2"/>
          <w:sz w:val="30"/>
          <w:szCs w:val="30"/>
          <w:lang w:val="en-US"/>
        </w:rPr>
      </w:pPr>
      <w:r>
        <w:rPr>
          <w:rFonts w:hint="eastAsia" w:ascii="仿宋" w:hAnsi="仿宋" w:eastAsia="仿宋" w:cs="仿宋"/>
          <w:b/>
          <w:bCs/>
          <w:color w:val="000000"/>
          <w:kern w:val="2"/>
          <w:sz w:val="30"/>
          <w:szCs w:val="30"/>
          <w:lang w:val="en-US" w:eastAsia="zh-CN"/>
        </w:rPr>
        <w:t>6.</w:t>
      </w:r>
      <w:r>
        <w:rPr>
          <w:rFonts w:hint="eastAsia" w:ascii="仿宋" w:hAnsi="仿宋" w:eastAsia="仿宋" w:cs="仿宋"/>
          <w:b/>
          <w:bCs/>
          <w:color w:val="000000"/>
          <w:kern w:val="2"/>
          <w:sz w:val="30"/>
          <w:szCs w:val="30"/>
          <w:lang w:val="en-US"/>
        </w:rPr>
        <w:t>数字人文视域下永州文化遗产资源开发研究</w:t>
      </w:r>
    </w:p>
    <w:p>
      <w:pPr>
        <w:numPr>
          <w:ilvl w:val="0"/>
          <w:numId w:val="0"/>
        </w:numPr>
        <w:spacing w:line="360" w:lineRule="auto"/>
        <w:rPr>
          <w:rFonts w:hint="eastAsia" w:ascii="仿宋" w:hAnsi="仿宋" w:eastAsia="仿宋" w:cs="仿宋"/>
          <w:b/>
          <w:bCs/>
          <w:color w:val="000000"/>
          <w:kern w:val="2"/>
          <w:sz w:val="30"/>
          <w:szCs w:val="30"/>
          <w:lang w:val="en-US" w:eastAsia="zh-CN"/>
        </w:rPr>
      </w:pPr>
      <w:r>
        <w:rPr>
          <w:rFonts w:hint="eastAsia" w:ascii="仿宋" w:hAnsi="仿宋" w:eastAsia="仿宋" w:cs="仿宋"/>
          <w:color w:val="000000"/>
          <w:sz w:val="24"/>
          <w:lang w:val="en-US" w:eastAsia="zh-CN"/>
        </w:rPr>
        <w:t>数字人文视域下女书文化资源开发研究；数字人文视域下永州传统村落资源开发研究；数字人文视域下永州摩崖石刻资源开发研究；数字人文视域下零陵渔鼓资源开发研究；数字人文视域下零陵红色文化资源开发研究。</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7.</w:t>
      </w:r>
      <w:r>
        <w:rPr>
          <w:rFonts w:hint="eastAsia" w:ascii="仿宋" w:hAnsi="仿宋" w:eastAsia="仿宋" w:cs="仿宋"/>
          <w:b/>
          <w:bCs/>
          <w:color w:val="000000"/>
          <w:sz w:val="30"/>
          <w:szCs w:val="30"/>
          <w:lang w:eastAsia="zh-CN"/>
        </w:rPr>
        <w:t>地方民族</w:t>
      </w:r>
      <w:r>
        <w:rPr>
          <w:rFonts w:hint="eastAsia" w:ascii="仿宋" w:hAnsi="仿宋" w:eastAsia="仿宋" w:cs="仿宋"/>
          <w:b/>
          <w:bCs/>
          <w:color w:val="000000"/>
          <w:sz w:val="30"/>
          <w:szCs w:val="30"/>
        </w:rPr>
        <w:t>音乐舞蹈文化传承发展研究</w:t>
      </w:r>
    </w:p>
    <w:p>
      <w:pPr>
        <w:spacing w:line="360" w:lineRule="auto"/>
        <w:rPr>
          <w:rFonts w:hint="eastAsia" w:ascii="仿宋" w:hAnsi="仿宋" w:eastAsia="仿宋" w:cs="仿宋"/>
          <w:b/>
          <w:bCs/>
          <w:color w:val="000000"/>
          <w:sz w:val="30"/>
          <w:szCs w:val="30"/>
        </w:rPr>
      </w:pPr>
      <w:r>
        <w:rPr>
          <w:rFonts w:hint="eastAsia" w:ascii="仿宋" w:hAnsi="仿宋" w:eastAsia="仿宋" w:cs="仿宋"/>
          <w:color w:val="000000"/>
          <w:sz w:val="24"/>
        </w:rPr>
        <w:t>地方优秀传统音乐（舞蹈）文化研究；地方优秀传统音乐（舞蹈）文化与乡村振兴建设融合研究；地方优秀传统音乐（舞蹈）文化的创造性转化与创新性发展研究；瑶族音乐传承深层次开发与调查研究；地方优秀传统音乐（舞蹈）文化对外传播研究</w:t>
      </w:r>
      <w:r>
        <w:rPr>
          <w:rFonts w:hint="eastAsia" w:ascii="仿宋" w:hAnsi="仿宋" w:eastAsia="仿宋" w:cs="仿宋"/>
          <w:color w:val="000000"/>
          <w:sz w:val="24"/>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8.</w:t>
      </w:r>
      <w:r>
        <w:rPr>
          <w:rFonts w:hint="eastAsia" w:ascii="仿宋" w:hAnsi="仿宋" w:eastAsia="仿宋" w:cs="仿宋"/>
          <w:b/>
          <w:bCs/>
          <w:color w:val="000000"/>
          <w:sz w:val="30"/>
          <w:szCs w:val="30"/>
        </w:rPr>
        <w:t>非物质文化遗产创新研究</w:t>
      </w:r>
    </w:p>
    <w:p>
      <w:pPr>
        <w:spacing w:line="360" w:lineRule="auto"/>
        <w:rPr>
          <w:rFonts w:hint="eastAsia" w:ascii="仿宋" w:hAnsi="仿宋" w:eastAsia="仿宋" w:cs="仿宋"/>
          <w:b/>
          <w:bCs/>
          <w:color w:val="000000"/>
          <w:sz w:val="30"/>
          <w:szCs w:val="30"/>
          <w:lang w:eastAsia="zh-CN"/>
        </w:rPr>
      </w:pPr>
      <w:r>
        <w:rPr>
          <w:rFonts w:hint="eastAsia" w:ascii="仿宋" w:hAnsi="仿宋" w:eastAsia="仿宋" w:cs="仿宋"/>
          <w:color w:val="000000"/>
          <w:sz w:val="24"/>
        </w:rPr>
        <w:t>非物质文化遗产传播与高校文化传承创新功能研究</w:t>
      </w:r>
      <w:r>
        <w:rPr>
          <w:rFonts w:hint="eastAsia" w:ascii="仿宋" w:hAnsi="仿宋" w:eastAsia="仿宋" w:cs="仿宋"/>
          <w:color w:val="000000"/>
          <w:sz w:val="24"/>
          <w:lang w:eastAsia="zh-CN"/>
        </w:rPr>
        <w:t>；</w:t>
      </w:r>
      <w:r>
        <w:rPr>
          <w:rFonts w:hint="eastAsia" w:ascii="仿宋" w:hAnsi="仿宋" w:eastAsia="仿宋" w:cs="仿宋"/>
          <w:color w:val="000000"/>
          <w:sz w:val="24"/>
        </w:rPr>
        <w:t>地方民族传统体育文化传承发展的现状与困境研究；地方体育文化旅游产业的发展研究；地方体育非物质文化遗产的发掘与传承研究；地方少数民族地区户外体育资源开发与利用研究；体育文化信息化建设基础设施建设与应用研究</w:t>
      </w:r>
      <w:r>
        <w:rPr>
          <w:rFonts w:hint="eastAsia" w:ascii="仿宋" w:hAnsi="仿宋" w:eastAsia="仿宋" w:cs="仿宋"/>
          <w:color w:val="000000"/>
          <w:sz w:val="24"/>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9.</w:t>
      </w:r>
      <w:r>
        <w:rPr>
          <w:rFonts w:hint="eastAsia" w:ascii="仿宋" w:hAnsi="仿宋" w:eastAsia="仿宋" w:cs="仿宋"/>
          <w:b/>
          <w:bCs/>
          <w:color w:val="000000"/>
          <w:sz w:val="30"/>
          <w:szCs w:val="30"/>
        </w:rPr>
        <w:t>人才强国背景下地方高校人力资源管理体制机制</w:t>
      </w:r>
      <w:r>
        <w:rPr>
          <w:rFonts w:hint="eastAsia" w:ascii="仿宋" w:hAnsi="仿宋" w:eastAsia="仿宋" w:cs="仿宋"/>
          <w:b/>
          <w:bCs/>
          <w:color w:val="000000"/>
          <w:sz w:val="30"/>
          <w:szCs w:val="30"/>
          <w:lang w:eastAsia="zh-CN"/>
        </w:rPr>
        <w:t>创新</w:t>
      </w:r>
      <w:r>
        <w:rPr>
          <w:rFonts w:hint="eastAsia" w:ascii="仿宋" w:hAnsi="仿宋" w:eastAsia="仿宋" w:cs="仿宋"/>
          <w:b/>
          <w:bCs/>
          <w:color w:val="000000"/>
          <w:sz w:val="30"/>
          <w:szCs w:val="30"/>
        </w:rPr>
        <w:t>研究</w:t>
      </w:r>
    </w:p>
    <w:p>
      <w:pPr>
        <w:spacing w:line="360" w:lineRule="auto"/>
        <w:rPr>
          <w:rFonts w:hint="eastAsia" w:ascii="仿宋" w:hAnsi="仿宋" w:eastAsia="仿宋" w:cs="仿宋"/>
          <w:b/>
          <w:bCs/>
          <w:color w:val="000000"/>
          <w:sz w:val="30"/>
          <w:szCs w:val="30"/>
        </w:rPr>
      </w:pPr>
      <w:r>
        <w:rPr>
          <w:rFonts w:hint="eastAsia" w:ascii="仿宋" w:hAnsi="仿宋" w:eastAsia="仿宋" w:cs="仿宋"/>
          <w:color w:val="000000"/>
          <w:sz w:val="24"/>
        </w:rPr>
        <w:t>教师评价制度改革研究；现代治理体系下背景的人力资源信息化建设；新时代人才流动背景下高层次人才队伍稳定体制机制研究；师德师风建设长效化体制机制建设研究；社保管理在留住人才中的作用研究</w:t>
      </w:r>
      <w:r>
        <w:rPr>
          <w:rFonts w:hint="eastAsia" w:ascii="仿宋" w:hAnsi="仿宋" w:eastAsia="仿宋" w:cs="仿宋"/>
          <w:color w:val="000000"/>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10.</w:t>
      </w:r>
      <w:r>
        <w:rPr>
          <w:rFonts w:hint="eastAsia" w:ascii="仿宋" w:hAnsi="仿宋" w:eastAsia="仿宋" w:cs="仿宋"/>
          <w:b/>
          <w:bCs/>
          <w:color w:val="000000"/>
          <w:sz w:val="30"/>
          <w:szCs w:val="30"/>
        </w:rPr>
        <w:t>地方高校国际化路径探究</w:t>
      </w:r>
    </w:p>
    <w:p>
      <w:pPr>
        <w:spacing w:line="360" w:lineRule="auto"/>
        <w:rPr>
          <w:rFonts w:hint="eastAsia" w:ascii="仿宋" w:hAnsi="仿宋" w:eastAsia="仿宋" w:cs="仿宋"/>
          <w:b/>
          <w:bCs/>
          <w:color w:val="000000"/>
          <w:sz w:val="30"/>
          <w:szCs w:val="30"/>
          <w:lang w:eastAsia="zh-CN"/>
        </w:rPr>
      </w:pPr>
      <w:r>
        <w:rPr>
          <w:rFonts w:hint="eastAsia" w:ascii="仿宋" w:hAnsi="仿宋" w:eastAsia="仿宋" w:cs="仿宋"/>
          <w:color w:val="000000"/>
          <w:sz w:val="24"/>
        </w:rPr>
        <w:t>地方高校国际化人才培养讲好中国故事—新时代地方高校来华留学生中国通识教育策略研究；一带一路”沿线国家汉语对外传播力研究；新时代地方高校来华留学生趋同化管理路径探究；地方高校国际教育学院建设探索；后疫情时代我国地方高校国际化路径探索</w:t>
      </w:r>
      <w:r>
        <w:rPr>
          <w:rFonts w:hint="eastAsia" w:ascii="仿宋" w:hAnsi="仿宋" w:eastAsia="仿宋" w:cs="仿宋"/>
          <w:color w:val="000000"/>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11.</w:t>
      </w:r>
      <w:r>
        <w:rPr>
          <w:rFonts w:hint="eastAsia" w:ascii="仿宋" w:hAnsi="仿宋" w:eastAsia="仿宋" w:cs="仿宋"/>
          <w:b/>
          <w:bCs/>
          <w:color w:val="000000"/>
          <w:sz w:val="30"/>
          <w:szCs w:val="30"/>
        </w:rPr>
        <w:t>有组织科研背景下的科技创新研究</w:t>
      </w:r>
    </w:p>
    <w:p>
      <w:pPr>
        <w:spacing w:line="360" w:lineRule="auto"/>
        <w:rPr>
          <w:rFonts w:hint="eastAsia" w:ascii="仿宋" w:hAnsi="仿宋" w:eastAsia="仿宋" w:cs="仿宋"/>
          <w:b/>
          <w:bCs/>
          <w:color w:val="000000"/>
          <w:sz w:val="30"/>
          <w:szCs w:val="30"/>
        </w:rPr>
      </w:pPr>
      <w:r>
        <w:rPr>
          <w:rFonts w:hint="eastAsia" w:ascii="仿宋" w:hAnsi="仿宋" w:eastAsia="仿宋" w:cs="仿宋"/>
          <w:color w:val="000000"/>
          <w:sz w:val="24"/>
        </w:rPr>
        <w:t>法学视角下的高校科研成果转化研究；有组织科研背景下高校科研成果管理策略研究；提升高校科研项目质量的对策研究；地方本科院校科研创新服务平台的应用研究；有组织科研背景下的大学生科研现状与对策研究</w:t>
      </w:r>
      <w:r>
        <w:rPr>
          <w:rFonts w:hint="eastAsia" w:ascii="仿宋" w:hAnsi="仿宋" w:eastAsia="仿宋" w:cs="仿宋"/>
          <w:color w:val="000000"/>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12.</w:t>
      </w:r>
      <w:r>
        <w:rPr>
          <w:rFonts w:hint="eastAsia" w:ascii="仿宋" w:hAnsi="仿宋" w:eastAsia="仿宋" w:cs="仿宋"/>
          <w:b/>
          <w:bCs/>
          <w:color w:val="000000"/>
          <w:sz w:val="30"/>
          <w:szCs w:val="30"/>
        </w:rPr>
        <w:t>“五育并举”视域下大学体育课程与学生体质健康的融合</w:t>
      </w:r>
    </w:p>
    <w:p>
      <w:pPr>
        <w:spacing w:line="360" w:lineRule="auto"/>
        <w:rPr>
          <w:rFonts w:hint="eastAsia" w:ascii="仿宋" w:hAnsi="仿宋" w:eastAsia="仿宋" w:cs="仿宋"/>
          <w:b/>
          <w:bCs/>
          <w:color w:val="000000"/>
          <w:sz w:val="30"/>
          <w:szCs w:val="30"/>
        </w:rPr>
      </w:pPr>
      <w:r>
        <w:rPr>
          <w:rFonts w:hint="eastAsia" w:ascii="仿宋" w:hAnsi="仿宋" w:eastAsia="仿宋" w:cs="仿宋"/>
          <w:color w:val="000000"/>
          <w:sz w:val="24"/>
        </w:rPr>
        <w:t>大学体育教育面临的挑战和发展方向的研究；大学生体质健康危机的困境及纾解策略研究；大学生体质测试方式方法模式改革研究；场域视角下高校执行学生体质健康促进政策研究；“五育并举”全面融合与特色发展研究</w:t>
      </w:r>
      <w:r>
        <w:rPr>
          <w:rFonts w:hint="eastAsia" w:ascii="仿宋" w:hAnsi="仿宋" w:eastAsia="仿宋" w:cs="仿宋"/>
          <w:color w:val="000000"/>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13.</w:t>
      </w:r>
      <w:r>
        <w:rPr>
          <w:rFonts w:hint="eastAsia" w:ascii="仿宋" w:hAnsi="仿宋" w:eastAsia="仿宋" w:cs="仿宋"/>
          <w:b/>
          <w:bCs/>
          <w:color w:val="000000"/>
          <w:sz w:val="30"/>
          <w:szCs w:val="30"/>
        </w:rPr>
        <w:t>生物功能材料与绿色催化转化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lang w:eastAsia="zh-CN"/>
        </w:rPr>
      </w:pPr>
      <w:r>
        <w:rPr>
          <w:rFonts w:hint="eastAsia" w:ascii="仿宋" w:hAnsi="仿宋" w:eastAsia="仿宋" w:cs="仿宋"/>
          <w:color w:val="000000"/>
          <w:sz w:val="24"/>
        </w:rPr>
        <w:t>生物质基阻燃复合材料的研究与应用；低值粘土矿物资源的高值化应用；大环金属配合物及超分子材料的设计开发与应用；人工离子</w:t>
      </w:r>
      <w:r>
        <w:rPr>
          <w:rFonts w:ascii="仿宋" w:hAnsi="仿宋" w:eastAsia="仿宋" w:cs="仿宋"/>
          <w:color w:val="000000"/>
          <w:sz w:val="24"/>
        </w:rPr>
        <w:t>通道的设计、合成及应用</w:t>
      </w:r>
      <w:r>
        <w:rPr>
          <w:rFonts w:hint="eastAsia" w:ascii="仿宋" w:hAnsi="仿宋" w:eastAsia="仿宋" w:cs="仿宋"/>
          <w:color w:val="000000"/>
          <w:sz w:val="24"/>
          <w:lang w:eastAsia="zh-CN"/>
        </w:rPr>
        <w:t>；</w:t>
      </w:r>
      <w:r>
        <w:rPr>
          <w:rFonts w:hint="eastAsia" w:ascii="仿宋" w:hAnsi="仿宋" w:eastAsia="仿宋" w:cs="仿宋"/>
          <w:color w:val="000000"/>
          <w:sz w:val="24"/>
        </w:rPr>
        <w:t>高效有机</w:t>
      </w:r>
      <w:r>
        <w:rPr>
          <w:rFonts w:ascii="仿宋" w:hAnsi="仿宋" w:eastAsia="仿宋" w:cs="仿宋"/>
          <w:color w:val="000000"/>
          <w:sz w:val="24"/>
        </w:rPr>
        <w:t>催化体系</w:t>
      </w:r>
      <w:r>
        <w:rPr>
          <w:rFonts w:hint="eastAsia" w:ascii="仿宋" w:hAnsi="仿宋" w:eastAsia="仿宋" w:cs="仿宋"/>
          <w:color w:val="000000"/>
          <w:sz w:val="24"/>
        </w:rPr>
        <w:t>用于生物活性分子或功能分子的绿色合成；光、电等催化技术用于</w:t>
      </w:r>
      <w:r>
        <w:rPr>
          <w:rFonts w:ascii="仿宋" w:hAnsi="仿宋" w:eastAsia="仿宋" w:cs="仿宋"/>
          <w:color w:val="000000"/>
          <w:sz w:val="24"/>
        </w:rPr>
        <w:t>温和条件下化学转化</w:t>
      </w:r>
      <w:r>
        <w:rPr>
          <w:rFonts w:hint="eastAsia" w:ascii="仿宋" w:hAnsi="仿宋" w:eastAsia="仿宋" w:cs="仿宋"/>
          <w:color w:val="000000"/>
          <w:sz w:val="24"/>
        </w:rPr>
        <w:t>；重要医药中间体、香精香料等精细化学品合成技术开发与工艺优化</w:t>
      </w:r>
      <w:r>
        <w:rPr>
          <w:rFonts w:hint="eastAsia" w:ascii="仿宋" w:hAnsi="仿宋" w:eastAsia="仿宋" w:cs="仿宋"/>
          <w:color w:val="000000"/>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14.</w:t>
      </w:r>
      <w:r>
        <w:rPr>
          <w:rFonts w:hint="eastAsia" w:ascii="仿宋" w:hAnsi="仿宋" w:eastAsia="仿宋" w:cs="仿宋"/>
          <w:b/>
          <w:bCs/>
          <w:color w:val="000000"/>
          <w:sz w:val="30"/>
          <w:szCs w:val="30"/>
        </w:rPr>
        <w:t>特色优势植物资源的开发利用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ascii="仿宋" w:hAnsi="仿宋" w:eastAsia="仿宋" w:cs="仿宋"/>
          <w:color w:val="000000"/>
          <w:sz w:val="24"/>
        </w:rPr>
        <w:t>湘南特色优势植物资源（香柚、山苍子、八月瓜、香姜、油茶、银杏等）的活性成分的分离、鉴定和功能性测试；基于湘南特色优势植物资源的风味成分形成机制研究及其在预制菜中的应用研究</w:t>
      </w:r>
      <w:r>
        <w:rPr>
          <w:rFonts w:hint="eastAsia" w:ascii="仿宋" w:hAnsi="仿宋" w:eastAsia="仿宋" w:cs="仿宋"/>
          <w:color w:val="000000"/>
          <w:sz w:val="24"/>
          <w:lang w:eastAsia="zh-CN"/>
        </w:rPr>
        <w:t>。</w:t>
      </w:r>
      <w:r>
        <w:rPr>
          <w:rFonts w:hint="eastAsia" w:ascii="仿宋" w:hAnsi="仿宋" w:eastAsia="仿宋" w:cs="仿宋"/>
          <w:b/>
          <w:bCs/>
          <w:color w:val="000000"/>
          <w:sz w:val="30"/>
          <w:szCs w:val="30"/>
        </w:rPr>
        <w:br w:type="textWrapping"/>
      </w:r>
      <w:r>
        <w:rPr>
          <w:rFonts w:hint="eastAsia" w:ascii="仿宋" w:hAnsi="仿宋" w:eastAsia="仿宋" w:cs="仿宋"/>
          <w:b/>
          <w:bCs/>
          <w:color w:val="000000"/>
          <w:sz w:val="30"/>
          <w:szCs w:val="30"/>
          <w:lang w:val="en-US" w:eastAsia="zh-CN"/>
        </w:rPr>
        <w:t>15.</w:t>
      </w:r>
      <w:r>
        <w:rPr>
          <w:rFonts w:hint="eastAsia" w:ascii="仿宋" w:hAnsi="仿宋" w:eastAsia="仿宋" w:cs="仿宋"/>
          <w:b/>
          <w:bCs/>
          <w:color w:val="000000"/>
          <w:sz w:val="30"/>
          <w:szCs w:val="30"/>
        </w:rPr>
        <w:t>人体肠道微生态健康背景下抗耐药细菌多肽药物筛选及其创面修复材料开发与应用</w:t>
      </w:r>
    </w:p>
    <w:p>
      <w:pPr>
        <w:numPr>
          <w:ilvl w:val="0"/>
          <w:numId w:val="0"/>
        </w:numPr>
        <w:spacing w:line="360" w:lineRule="auto"/>
        <w:rPr>
          <w:rFonts w:hint="eastAsia" w:ascii="仿宋" w:hAnsi="仿宋" w:eastAsia="仿宋" w:cs="仿宋"/>
          <w:b/>
          <w:bCs/>
          <w:color w:val="000000"/>
          <w:sz w:val="30"/>
          <w:szCs w:val="30"/>
          <w:lang w:val="en-US" w:eastAsia="zh-CN"/>
        </w:rPr>
      </w:pPr>
      <w:r>
        <w:rPr>
          <w:rFonts w:ascii="仿宋" w:hAnsi="仿宋" w:eastAsia="仿宋" w:cs="仿宋"/>
          <w:color w:val="000000"/>
          <w:sz w:val="24"/>
          <w:lang w:val="en-US"/>
        </w:rPr>
        <w:t>肠道微生物的耐药分布、传播途径及其机制研究；新型抗菌类药物的筛选、应用及其机制研究；益生元物质如多糖等的筛选及其与肠道环境相互作用的研究；改善肠道有益微生物与肠上皮细胞相互作用的药物开发</w:t>
      </w:r>
      <w:r>
        <w:rPr>
          <w:rFonts w:hint="eastAsia" w:ascii="仿宋" w:hAnsi="仿宋" w:eastAsia="仿宋" w:cs="仿宋"/>
          <w:color w:val="000000"/>
          <w:sz w:val="24"/>
          <w:lang w:val="en-US" w:eastAsia="zh-CN"/>
        </w:rPr>
        <w:t>；</w:t>
      </w:r>
      <w:r>
        <w:rPr>
          <w:rFonts w:ascii="仿宋" w:hAnsi="仿宋" w:eastAsia="仿宋" w:cs="仿宋"/>
          <w:color w:val="000000"/>
          <w:sz w:val="24"/>
          <w:lang w:val="en-US"/>
        </w:rPr>
        <w:t>多肽抗细菌与逆转耐药研究</w:t>
      </w:r>
      <w:r>
        <w:rPr>
          <w:rFonts w:hint="eastAsia" w:ascii="仿宋" w:hAnsi="仿宋" w:eastAsia="仿宋" w:cs="仿宋"/>
          <w:color w:val="000000"/>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16.</w:t>
      </w:r>
      <w:r>
        <w:rPr>
          <w:rFonts w:hint="eastAsia" w:ascii="仿宋" w:hAnsi="仿宋" w:eastAsia="仿宋" w:cs="仿宋"/>
          <w:b/>
          <w:bCs/>
          <w:color w:val="000000"/>
          <w:sz w:val="30"/>
          <w:szCs w:val="30"/>
        </w:rPr>
        <w:t>脑健康与智慧医疗研究</w:t>
      </w:r>
    </w:p>
    <w:p>
      <w:pPr>
        <w:spacing w:line="360" w:lineRule="auto"/>
        <w:rPr>
          <w:rFonts w:hint="eastAsia" w:ascii="仿宋" w:hAnsi="仿宋" w:eastAsia="仿宋" w:cs="仿宋"/>
          <w:b/>
          <w:bCs/>
          <w:color w:val="000000"/>
          <w:sz w:val="30"/>
          <w:szCs w:val="30"/>
          <w:lang w:eastAsia="zh-CN"/>
        </w:rPr>
      </w:pPr>
      <w:r>
        <w:rPr>
          <w:rFonts w:hint="eastAsia" w:ascii="仿宋" w:hAnsi="仿宋" w:eastAsia="仿宋" w:cs="仿宋"/>
          <w:color w:val="000000"/>
          <w:sz w:val="24"/>
        </w:rPr>
        <w:t>基于脑网络深度融合的阿尔茨海默病智能诊断技术研究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17.</w:t>
      </w:r>
      <w:r>
        <w:rPr>
          <w:rFonts w:hint="eastAsia" w:ascii="仿宋" w:hAnsi="仿宋" w:eastAsia="仿宋" w:cs="仿宋"/>
          <w:b/>
          <w:bCs/>
          <w:color w:val="000000"/>
          <w:sz w:val="30"/>
          <w:szCs w:val="30"/>
        </w:rPr>
        <w:t>智能制造与生物质功能材料研究</w:t>
      </w:r>
    </w:p>
    <w:p>
      <w:pPr>
        <w:spacing w:line="360" w:lineRule="auto"/>
        <w:rPr>
          <w:rFonts w:hint="eastAsia" w:ascii="仿宋" w:hAnsi="仿宋" w:eastAsia="仿宋" w:cs="仿宋"/>
          <w:b/>
          <w:bCs/>
          <w:color w:val="000000"/>
          <w:sz w:val="30"/>
          <w:szCs w:val="30"/>
        </w:rPr>
      </w:pPr>
      <w:r>
        <w:rPr>
          <w:rFonts w:hint="eastAsia" w:ascii="仿宋" w:hAnsi="仿宋" w:eastAsia="仿宋" w:cs="仿宋"/>
          <w:color w:val="000000"/>
          <w:sz w:val="24"/>
        </w:rPr>
        <w:t>木质功能材料的制备与性能表征研究；农作物秸秆基功能材料的制备与工艺优化；微观修形对齿轮振动噪声的影响研究；汽车转向柱结构优化设计与转角控制研究；“双碳”背景下制造过程资源环境属性评价研究；齿轮传动系统动力学研究</w:t>
      </w:r>
      <w:r>
        <w:rPr>
          <w:rFonts w:hint="eastAsia" w:ascii="仿宋" w:hAnsi="仿宋" w:eastAsia="仿宋" w:cs="仿宋"/>
          <w:color w:val="000000"/>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18.</w:t>
      </w:r>
      <w:r>
        <w:rPr>
          <w:rFonts w:hint="eastAsia" w:ascii="仿宋" w:hAnsi="仿宋" w:eastAsia="仿宋" w:cs="仿宋"/>
          <w:b/>
          <w:bCs/>
          <w:color w:val="000000"/>
          <w:sz w:val="30"/>
          <w:szCs w:val="30"/>
        </w:rPr>
        <w:t>忆阻神经元设计及其应用</w:t>
      </w:r>
    </w:p>
    <w:p>
      <w:pPr>
        <w:spacing w:line="360" w:lineRule="auto"/>
        <w:rPr>
          <w:rFonts w:hint="eastAsia" w:ascii="仿宋" w:hAnsi="仿宋" w:eastAsia="仿宋" w:cs="仿宋"/>
          <w:b/>
          <w:bCs/>
          <w:color w:val="000000"/>
          <w:sz w:val="30"/>
          <w:szCs w:val="30"/>
        </w:rPr>
      </w:pPr>
      <w:r>
        <w:rPr>
          <w:rFonts w:hint="eastAsia" w:ascii="仿宋" w:hAnsi="仿宋" w:eastAsia="仿宋" w:cs="仿宋"/>
          <w:color w:val="000000"/>
          <w:sz w:val="24"/>
        </w:rPr>
        <w:t>局部有源忆阻器电路设计；神经元的建模与神经形态计算；忆阻神经网络的非动力学研究；基于忆阻器的神经网络及其在图像处理中的应用；忆阻器类脑计算芯片研究</w:t>
      </w:r>
      <w:r>
        <w:rPr>
          <w:rFonts w:hint="eastAsia" w:ascii="仿宋" w:hAnsi="仿宋" w:eastAsia="仿宋" w:cs="仿宋"/>
          <w:color w:val="000000"/>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bCs/>
          <w:color w:val="000000"/>
          <w:sz w:val="30"/>
          <w:szCs w:val="30"/>
          <w:lang w:eastAsia="zh-CN"/>
        </w:rPr>
      </w:pPr>
      <w:r>
        <w:rPr>
          <w:rFonts w:hint="eastAsia" w:ascii="仿宋" w:hAnsi="仿宋" w:eastAsia="仿宋" w:cs="仿宋"/>
          <w:b/>
          <w:bCs/>
          <w:color w:val="000000"/>
          <w:sz w:val="30"/>
          <w:szCs w:val="30"/>
          <w:lang w:val="en-US" w:eastAsia="zh-CN"/>
        </w:rPr>
        <w:t>19.</w:t>
      </w:r>
      <w:r>
        <w:rPr>
          <w:rFonts w:hint="eastAsia" w:ascii="仿宋" w:hAnsi="仿宋" w:eastAsia="仿宋" w:cs="仿宋"/>
          <w:b/>
          <w:bCs/>
          <w:color w:val="000000"/>
          <w:sz w:val="30"/>
          <w:szCs w:val="30"/>
        </w:rPr>
        <w:t>无线电能传输</w:t>
      </w:r>
      <w:r>
        <w:rPr>
          <w:rFonts w:hint="eastAsia" w:ascii="仿宋" w:hAnsi="仿宋" w:eastAsia="仿宋" w:cs="仿宋"/>
          <w:b/>
          <w:bCs/>
          <w:color w:val="000000"/>
          <w:sz w:val="30"/>
          <w:szCs w:val="30"/>
          <w:lang w:eastAsia="zh-CN"/>
        </w:rPr>
        <w:t>研究</w:t>
      </w:r>
    </w:p>
    <w:p>
      <w:pPr>
        <w:spacing w:line="360" w:lineRule="auto"/>
        <w:rPr>
          <w:rFonts w:hint="eastAsia" w:ascii="仿宋" w:hAnsi="仿宋" w:eastAsia="仿宋" w:cs="仿宋"/>
          <w:b/>
          <w:bCs/>
          <w:color w:val="000000"/>
          <w:sz w:val="30"/>
          <w:szCs w:val="30"/>
          <w:lang w:val="en-US" w:eastAsia="zh-CN"/>
        </w:rPr>
      </w:pPr>
      <w:r>
        <w:rPr>
          <w:rFonts w:hint="eastAsia" w:ascii="仿宋" w:hAnsi="仿宋" w:eastAsia="仿宋" w:cs="仿宋"/>
          <w:color w:val="000000"/>
          <w:sz w:val="24"/>
        </w:rPr>
        <w:t>子课题：基于磁解耦紧凑低成本功率增强的LCC/S双通道WPT系统研究；基于双DD磁解耦紧凑补偿电感的LCC/S双通道WPT系统研究；基于磁解耦紧凑功率增强的S/SP双通道WPT系统研究；基于磁解耦紧凑S补偿电感的LCC/LCC WPT系统研究；基于ARM的无线传感器的研究与应用；ARM显示屏的创新开发与应用</w:t>
      </w:r>
      <w:r>
        <w:rPr>
          <w:rFonts w:hint="eastAsia" w:ascii="仿宋" w:hAnsi="仿宋" w:eastAsia="仿宋" w:cs="仿宋"/>
          <w:color w:val="000000"/>
          <w:sz w:val="24"/>
          <w:lang w:eastAsia="zh-CN"/>
        </w:rPr>
        <w:t>。</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20.</w:t>
      </w:r>
      <w:r>
        <w:rPr>
          <w:rFonts w:hint="eastAsia" w:ascii="仿宋" w:hAnsi="仿宋" w:eastAsia="仿宋" w:cs="仿宋"/>
          <w:b/>
          <w:bCs/>
          <w:color w:val="000000"/>
          <w:sz w:val="30"/>
          <w:szCs w:val="30"/>
        </w:rPr>
        <w:t>历史建筑生物病害与材料改性研究</w:t>
      </w:r>
    </w:p>
    <w:p>
      <w:pPr>
        <w:spacing w:line="360" w:lineRule="auto"/>
        <w:rPr>
          <w:rFonts w:hint="eastAsia" w:ascii="仿宋" w:hAnsi="仿宋" w:eastAsia="仿宋" w:cs="仿宋"/>
          <w:b/>
          <w:bCs/>
          <w:color w:val="000000"/>
          <w:sz w:val="30"/>
          <w:szCs w:val="30"/>
          <w:lang w:val="en-US" w:eastAsia="zh-CN"/>
        </w:rPr>
      </w:pPr>
      <w:r>
        <w:rPr>
          <w:rFonts w:hint="eastAsia" w:ascii="仿宋" w:hAnsi="仿宋" w:eastAsia="仿宋" w:cs="仿宋"/>
          <w:color w:val="000000"/>
          <w:sz w:val="24"/>
        </w:rPr>
        <w:t>自然环境与微生物影响下的历史文物材质特性、病害形成机理；全寿命周期内历史建筑材料演变与表征；历史建筑材料力学性能建模与预测；历史建筑多因素耦合微观结构与力学行为多尺度模拟；进行历史建筑材料微观结构与热学性能模拟；历史建筑材料改性方法和工艺流程</w:t>
      </w:r>
      <w:r>
        <w:rPr>
          <w:rFonts w:hint="eastAsia" w:ascii="仿宋" w:hAnsi="仿宋" w:eastAsia="仿宋" w:cs="仿宋"/>
          <w:color w:val="000000"/>
          <w:sz w:val="24"/>
          <w:lang w:eastAsia="zh-CN"/>
        </w:rPr>
        <w:t>。</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21.</w:t>
      </w:r>
      <w:r>
        <w:rPr>
          <w:rFonts w:hint="eastAsia" w:ascii="仿宋" w:hAnsi="仿宋" w:eastAsia="仿宋" w:cs="仿宋"/>
          <w:b/>
          <w:bCs/>
          <w:color w:val="000000"/>
          <w:sz w:val="30"/>
          <w:szCs w:val="30"/>
        </w:rPr>
        <w:t>建筑文化遗产数字化保护建构与智慧利用</w:t>
      </w:r>
    </w:p>
    <w:p>
      <w:pPr>
        <w:spacing w:line="360" w:lineRule="auto"/>
        <w:rPr>
          <w:rFonts w:hint="eastAsia" w:ascii="仿宋" w:hAnsi="仿宋" w:eastAsia="仿宋" w:cs="仿宋"/>
          <w:b/>
          <w:bCs/>
          <w:color w:val="000000"/>
          <w:sz w:val="30"/>
          <w:szCs w:val="30"/>
          <w:lang w:val="en-US" w:eastAsia="zh-CN"/>
        </w:rPr>
      </w:pPr>
      <w:r>
        <w:rPr>
          <w:rFonts w:hint="eastAsia" w:ascii="仿宋" w:hAnsi="仿宋" w:eastAsia="仿宋" w:cs="仿宋"/>
          <w:color w:val="000000"/>
          <w:sz w:val="24"/>
        </w:rPr>
        <w:t>建筑遗产的劣化模拟与虚拟修复；建筑遗产的智慧监测与预警；湘南地区典型区域传统营造技艺数据库及知识图谱；历史建筑损伤实时识别评估；历史建筑修缮</w:t>
      </w:r>
      <w:r>
        <w:rPr>
          <w:rFonts w:hint="eastAsia" w:ascii="仿宋" w:hAnsi="仿宋" w:eastAsia="仿宋" w:cs="仿宋"/>
          <w:color w:val="000000"/>
          <w:sz w:val="24"/>
          <w:lang w:eastAsia="zh-CN"/>
        </w:rPr>
        <w:t>。</w:t>
      </w:r>
      <w:r>
        <w:rPr>
          <w:rFonts w:hint="eastAsia" w:ascii="仿宋" w:hAnsi="仿宋" w:eastAsia="仿宋" w:cs="仿宋"/>
          <w:color w:val="000000"/>
          <w:sz w:val="24"/>
        </w:rPr>
        <w:t>与评估人工智能</w:t>
      </w:r>
      <w:r>
        <w:rPr>
          <w:rFonts w:hint="eastAsia" w:ascii="仿宋" w:hAnsi="仿宋" w:eastAsia="仿宋" w:cs="仿宋"/>
          <w:color w:val="000000"/>
          <w:sz w:val="24"/>
          <w:lang w:eastAsia="zh-CN"/>
        </w:rPr>
        <w:t>。</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22.</w:t>
      </w:r>
      <w:r>
        <w:rPr>
          <w:rFonts w:hint="eastAsia" w:ascii="仿宋" w:hAnsi="仿宋" w:eastAsia="仿宋" w:cs="仿宋"/>
          <w:b/>
          <w:bCs/>
          <w:color w:val="000000"/>
          <w:sz w:val="30"/>
          <w:szCs w:val="30"/>
        </w:rPr>
        <w:t>不可移动文物（摩崖石刻）岩体损伤形成机理与安全性评估</w:t>
      </w:r>
    </w:p>
    <w:p>
      <w:pPr>
        <w:spacing w:line="360" w:lineRule="auto"/>
        <w:rPr>
          <w:rFonts w:hint="eastAsia" w:ascii="仿宋" w:hAnsi="仿宋" w:eastAsia="仿宋" w:cs="仿宋"/>
          <w:b/>
          <w:bCs/>
          <w:color w:val="000000"/>
          <w:sz w:val="28"/>
          <w:szCs w:val="28"/>
          <w:lang w:val="en-US" w:eastAsia="zh-CN"/>
        </w:rPr>
      </w:pPr>
      <w:r>
        <w:rPr>
          <w:rFonts w:hint="eastAsia" w:ascii="仿宋" w:hAnsi="仿宋" w:eastAsia="仿宋" w:cs="仿宋"/>
          <w:color w:val="000000"/>
          <w:sz w:val="24"/>
        </w:rPr>
        <w:t>不可移动文物风化损伤成因；高低温循环作用下的岩体力学性能；不可移动文物岩体风化发展预测与防治；静、动力荷载作用下砖石结构的力学强度和变形破坏特征；砖石质不可移动文物的结构安全性评价方法</w:t>
      </w:r>
      <w:r>
        <w:rPr>
          <w:rFonts w:hint="eastAsia" w:ascii="仿宋" w:hAnsi="仿宋" w:eastAsia="仿宋" w:cs="仿宋"/>
          <w:color w:val="000000"/>
          <w:sz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4OGEyYjFlNTY3NDEzYzlmYmI1Y2VhODBjZTgzYzAifQ=="/>
  </w:docVars>
  <w:rsids>
    <w:rsidRoot w:val="00000000"/>
    <w:rsid w:val="21DF7109"/>
    <w:rsid w:val="291647AC"/>
    <w:rsid w:val="324144A2"/>
    <w:rsid w:val="5CDB6058"/>
    <w:rsid w:val="604F17B9"/>
    <w:rsid w:val="60D2323A"/>
    <w:rsid w:val="699569DD"/>
    <w:rsid w:val="70852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qFormat/>
    <w:uiPriority w:val="1"/>
  </w:style>
  <w:style w:type="table" w:default="1" w:styleId="2">
    <w:name w:val="Normal Table"/>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3252</Words>
  <Characters>3336</Characters>
  <Paragraphs>64</Paragraphs>
  <TotalTime>1</TotalTime>
  <ScaleCrop>false</ScaleCrop>
  <LinksUpToDate>false</LinksUpToDate>
  <CharactersWithSpaces>3341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2023-07-31T10:06:00Z</dcterms:created>
  <dc:creator>Microsoft Office User</dc:creator>
  <cp:lastModifiedBy>Administrator</cp:lastModifiedBy>
  <cp:lastPrinted>2023-09-02T08:47:00Z</cp:lastPrinted>
  <dcterms:modified xsi:type="dcterms:W3CDTF">2023-09-02T09:30:29Z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D0D211D6BF114D369D499E4268EF262E_13</vt:lpwstr>
  </property>
</Properties>
</file>